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hd w:val="clear" w:color="auto" w:fill="ffffff"/>
        <w:spacing/>
        <w:ind w:firstLine="470" w:left="34"/>
        <w:jc w:val="right"/>
        <w:rPr>
          <w:rFonts w:ascii="Times New Roman" w:hAnsi="Times New Roman"/>
          <w:b/>
          <w:color w:val="auto"/>
          <w:sz w:val="28"/>
          <w:szCs w:val="28"/>
          <w:lang w:val="uk-UA"/>
        </w:rPr>
      </w:pPr>
      <w:r>
        <w:rPr>
          <w:rFonts w:ascii="Times New Roman" w:hAnsi="Times New Roman"/>
          <w:b/>
          <w:color w:val="auto"/>
          <w:sz w:val="28"/>
          <w:szCs w:val="28"/>
          <w:lang w:val="uk-UA"/>
        </w:rPr>
        <w:t xml:space="preserve">ПРОЄКТ</w:t>
      </w:r>
      <w:r>
        <w:rPr>
          <w:rFonts w:ascii="Times New Roman" w:hAnsi="Times New Roman"/>
          <w:b/>
          <w:color w:val="auto"/>
          <w:sz w:val="28"/>
          <w:szCs w:val="28"/>
          <w:lang w:val="uk-UA"/>
        </w:rPr>
      </w:r>
    </w:p>
    <w:p>
      <w:pPr>
        <w:pBdr/>
        <w:shd w:val="clear" w:color="auto" w:fill="ffffff"/>
        <w:spacing/>
        <w:ind w:firstLine="470" w:left="34"/>
        <w:jc w:val="center"/>
        <w:rPr>
          <w:rFonts w:ascii="Times New Roman" w:hAnsi="Times New Roman"/>
          <w:b/>
          <w:color w:val="auto"/>
          <w:sz w:val="28"/>
          <w:szCs w:val="28"/>
          <w:lang w:val="uk-UA"/>
        </w:rPr>
      </w:pPr>
      <w:r>
        <w:rPr>
          <w:rFonts w:ascii="Times New Roman" w:hAnsi="Times New Roman"/>
          <w:b/>
          <w:color w:val="auto"/>
          <w:sz w:val="28"/>
          <w:szCs w:val="28"/>
          <w:lang w:val="uk-UA"/>
        </w:rPr>
        <w:t xml:space="preserve">Звіт про виконання регіональної програми за 2024 рік</w:t>
      </w:r>
      <w:r>
        <w:rPr>
          <w:rFonts w:ascii="Times New Roman" w:hAnsi="Times New Roman"/>
          <w:b/>
          <w:color w:val="auto"/>
          <w:sz w:val="28"/>
          <w:szCs w:val="28"/>
          <w:lang w:val="uk-UA"/>
        </w:rPr>
      </w:r>
    </w:p>
    <w:tbl>
      <w:tblPr>
        <w:tblW w:w="15309" w:type="dxa"/>
        <w:tblInd w:w="108" w:type="dxa"/>
        <w:tblBorders/>
        <w:tblLook w:val="01E0" w:firstRow="1" w:lastRow="1" w:firstColumn="1" w:lastColumn="1" w:noHBand="0" w:noVBand="0"/>
      </w:tblPr>
      <w:tblGrid>
        <w:gridCol w:w="720"/>
        <w:gridCol w:w="1440"/>
        <w:gridCol w:w="13149"/>
      </w:tblGrid>
      <w:tr>
        <w:trPr/>
        <w:tc>
          <w:tcPr>
            <w:tcBorders/>
            <w:tcW w:w="72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 xml:space="preserve">1.</w:t>
            </w:r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144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 xml:space="preserve">2918240</w:t>
            </w:r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1314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 xml:space="preserve">Департамент з питань цивільного захисту та оборонної роботи облдержадміністрації</w:t>
            </w:r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72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r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44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КВКВ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14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найменування головного розпорядника коштів програми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</w:tr>
      <w:tr>
        <w:trPr/>
        <w:tc>
          <w:tcPr>
            <w:tcBorders/>
            <w:tcW w:w="72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 xml:space="preserve">2.</w:t>
            </w:r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144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 xml:space="preserve">2918240</w:t>
            </w:r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1314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 xml:space="preserve">Департамент з питань цивільного захисту та оборонної роботи облдержадміністрації</w:t>
            </w:r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72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r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44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КВКВ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14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найменування відповідального виконавця програми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</w:tr>
      <w:tr>
        <w:trPr/>
        <w:tc>
          <w:tcPr>
            <w:tcBorders/>
            <w:tcW w:w="72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 xml:space="preserve">3.</w:t>
            </w:r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144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r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r>
          </w:p>
          <w:p>
            <w:pPr>
              <w:pBdr/>
              <w:spacing/>
              <w:ind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 xml:space="preserve">2918240</w:t>
            </w:r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13149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Програма </w:t>
            </w:r>
            <w:r>
              <w:rPr>
                <w:rFonts w:ascii="Times New Roman" w:hAnsi="Times New Roman"/>
                <w:bCs/>
                <w:spacing w:val="-4"/>
                <w:sz w:val="28"/>
                <w:szCs w:val="28"/>
                <w:lang w:val="uk-UA"/>
              </w:rPr>
              <w:t xml:space="preserve">матеріально-технічного забезпечення національного спротиву на території Чернігівської області на 2023-2024 роки,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затверджена рішенням Чернігівської обласної  ради дванадцятої сесії восьмого скликання 29 листопада 2022 року № 2-12/VIII</w:t>
            </w:r>
            <w:r>
              <w:rPr>
                <w:rFonts w:ascii="Times New Roman" w:hAnsi="Times New Roman"/>
                <w:sz w:val="28"/>
                <w:szCs w:val="28"/>
                <w:lang w:val="uk-UA" w:eastAsia="zh-CN"/>
              </w:rPr>
            </w:r>
          </w:p>
        </w:tc>
      </w:tr>
      <w:tr>
        <w:trPr/>
        <w:tc>
          <w:tcPr>
            <w:tcBorders/>
            <w:tcW w:w="72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r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44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КВКВ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14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найменування програми, дата і номер рішення обласної ради про її затвердження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</w:tr>
    </w:tbl>
    <w:p>
      <w:pPr>
        <w:pBdr/>
        <w:shd w:val="clear" w:color="auto" w:fill="ffffff"/>
        <w:spacing/>
        <w:ind w:firstLine="470" w:left="34"/>
        <w:jc w:val="center"/>
        <w:rPr>
          <w:rFonts w:ascii="Times New Roman" w:hAnsi="Times New Roman"/>
          <w:color w:val="auto"/>
          <w:sz w:val="16"/>
          <w:szCs w:val="16"/>
          <w:lang w:val="uk-UA"/>
        </w:rPr>
      </w:pPr>
      <w:r>
        <w:rPr>
          <w:rFonts w:ascii="Times New Roman" w:hAnsi="Times New Roman"/>
          <w:color w:val="auto"/>
          <w:sz w:val="16"/>
          <w:szCs w:val="16"/>
          <w:lang w:val="uk-UA"/>
        </w:rPr>
      </w:r>
      <w:r>
        <w:rPr>
          <w:rFonts w:ascii="Times New Roman" w:hAnsi="Times New Roman"/>
          <w:color w:val="auto"/>
          <w:sz w:val="16"/>
          <w:szCs w:val="16"/>
          <w:lang w:val="uk-UA"/>
        </w:rPr>
      </w:r>
    </w:p>
    <w:p>
      <w:pPr>
        <w:pBdr/>
        <w:shd w:val="clear" w:color="auto" w:fill="ffffff"/>
        <w:tabs>
          <w:tab w:val="left" w:leader="none" w:pos="3686"/>
        </w:tabs>
        <w:spacing/>
        <w:ind w:firstLine="146" w:left="34"/>
        <w:jc w:val="both"/>
        <w:rPr>
          <w:rFonts w:ascii="Times New Roman" w:hAnsi="Times New Roman"/>
          <w:color w:val="auto"/>
          <w:szCs w:val="24"/>
          <w:lang w:val="uk-UA"/>
        </w:rPr>
      </w:pPr>
      <w:r>
        <w:rPr>
          <w:rFonts w:ascii="Times New Roman" w:hAnsi="Times New Roman"/>
          <w:color w:val="auto"/>
          <w:sz w:val="28"/>
          <w:szCs w:val="28"/>
          <w:lang w:val="uk-UA"/>
        </w:rPr>
        <w:t xml:space="preserve">4. </w:t>
      </w:r>
      <w:r>
        <w:rPr>
          <w:rFonts w:ascii="Times New Roman" w:hAnsi="Times New Roman"/>
          <w:color w:val="auto"/>
          <w:szCs w:val="24"/>
          <w:lang w:val="uk-UA"/>
        </w:rPr>
        <w:t xml:space="preserve">Напрями діяльності та заходи регіональної цільової програми </w:t>
      </w:r>
      <w:r>
        <w:rPr>
          <w:rFonts w:ascii="Times New Roman" w:hAnsi="Times New Roman"/>
          <w:sz w:val="28"/>
          <w:szCs w:val="28"/>
          <w:u w:val="single"/>
          <w:lang w:val="uk-UA"/>
        </w:rPr>
        <w:t xml:space="preserve">Програма матеріально-технічного</w:t>
      </w:r>
      <w:r>
        <w:rPr>
          <w:rFonts w:ascii="Times New Roman" w:hAnsi="Times New Roman"/>
          <w:sz w:val="28"/>
          <w:szCs w:val="28"/>
          <w:u w:val="single"/>
          <w:lang w:val="uk-UA"/>
        </w:rPr>
        <w:t xml:space="preserve"> забезпечення національного</w:t>
      </w:r>
      <w:r>
        <w:rPr>
          <w:rFonts w:ascii="Times New Roman" w:hAnsi="Times New Roman"/>
          <w:sz w:val="28"/>
          <w:szCs w:val="28"/>
          <w:u w:val="single"/>
          <w:lang w:val="uk-UA"/>
        </w:rPr>
        <w:t xml:space="preserve"> спротиву на території  Чернігівської області на 2023-2024 роки</w:t>
      </w:r>
      <w:r>
        <w:rPr>
          <w:rFonts w:ascii="Times New Roman" w:hAnsi="Times New Roman"/>
          <w:color w:val="auto"/>
          <w:szCs w:val="24"/>
          <w:lang w:val="uk-UA"/>
        </w:rPr>
        <w:t xml:space="preserve"> ____________________________________________________________</w:t>
      </w:r>
      <w:r>
        <w:rPr>
          <w:rFonts w:ascii="Times New Roman" w:hAnsi="Times New Roman"/>
          <w:color w:val="auto"/>
          <w:szCs w:val="24"/>
          <w:lang w:val="uk-UA"/>
        </w:rPr>
      </w:r>
    </w:p>
    <w:p>
      <w:pPr>
        <w:pBdr/>
        <w:shd w:val="clear" w:color="auto" w:fill="ffffff"/>
        <w:spacing/>
        <w:ind w:firstLine="146" w:left="34"/>
        <w:jc w:val="both"/>
        <w:rPr>
          <w:rFonts w:ascii="Times New Roman" w:hAnsi="Times New Roman"/>
          <w:color w:val="auto"/>
          <w:szCs w:val="24"/>
          <w:lang w:val="uk-UA"/>
        </w:rPr>
      </w:pPr>
      <w:r>
        <w:rPr>
          <w:rFonts w:ascii="Times New Roman" w:hAnsi="Times New Roman"/>
          <w:color w:val="auto"/>
          <w:szCs w:val="24"/>
          <w:lang w:val="uk-UA"/>
        </w:rPr>
        <w:t xml:space="preserve">                       </w:t>
      </w:r>
      <w:r>
        <w:rPr>
          <w:rFonts w:ascii="Times New Roman" w:hAnsi="Times New Roman"/>
          <w:color w:val="auto"/>
          <w:szCs w:val="24"/>
          <w:lang w:val="uk-UA"/>
        </w:rPr>
        <w:tab/>
      </w:r>
      <w:r>
        <w:rPr>
          <w:rFonts w:ascii="Times New Roman" w:hAnsi="Times New Roman"/>
          <w:color w:val="auto"/>
          <w:szCs w:val="24"/>
          <w:lang w:val="uk-UA"/>
        </w:rPr>
        <w:tab/>
      </w:r>
      <w:r>
        <w:rPr>
          <w:rFonts w:ascii="Times New Roman" w:hAnsi="Times New Roman"/>
          <w:color w:val="auto"/>
          <w:szCs w:val="24"/>
          <w:lang w:val="uk-UA"/>
        </w:rPr>
        <w:tab/>
      </w:r>
      <w:r>
        <w:rPr>
          <w:rFonts w:ascii="Times New Roman" w:hAnsi="Times New Roman"/>
          <w:color w:val="auto"/>
          <w:szCs w:val="24"/>
          <w:lang w:val="uk-UA"/>
        </w:rPr>
        <w:tab/>
      </w:r>
      <w:r>
        <w:rPr>
          <w:rFonts w:ascii="Times New Roman" w:hAnsi="Times New Roman"/>
          <w:color w:val="auto"/>
          <w:szCs w:val="24"/>
          <w:lang w:val="uk-UA"/>
        </w:rPr>
        <w:tab/>
      </w:r>
      <w:r>
        <w:rPr>
          <w:rFonts w:ascii="Times New Roman" w:hAnsi="Times New Roman"/>
          <w:color w:val="auto"/>
          <w:szCs w:val="24"/>
          <w:lang w:val="uk-UA"/>
        </w:rPr>
        <w:tab/>
      </w:r>
      <w:r>
        <w:rPr>
          <w:rFonts w:ascii="Times New Roman" w:hAnsi="Times New Roman"/>
          <w:color w:val="auto"/>
          <w:szCs w:val="24"/>
          <w:lang w:val="uk-UA"/>
        </w:rPr>
        <w:tab/>
      </w:r>
      <w:r>
        <w:rPr>
          <w:rFonts w:ascii="Times New Roman" w:hAnsi="Times New Roman"/>
          <w:color w:val="auto"/>
          <w:szCs w:val="24"/>
          <w:lang w:val="uk-UA"/>
        </w:rPr>
        <w:tab/>
        <w:t xml:space="preserve">        (назва програми)</w:t>
      </w:r>
      <w:r>
        <w:rPr>
          <w:rFonts w:ascii="Times New Roman" w:hAnsi="Times New Roman"/>
          <w:color w:val="auto"/>
          <w:szCs w:val="24"/>
          <w:lang w:val="uk-UA"/>
        </w:rPr>
      </w:r>
    </w:p>
    <w:p>
      <w:pPr>
        <w:pBdr/>
        <w:shd w:val="clear" w:color="auto" w:fill="ffffff"/>
        <w:spacing/>
        <w:ind w:firstLine="146" w:left="34"/>
        <w:jc w:val="both"/>
        <w:rPr>
          <w:rFonts w:ascii="Times New Roman" w:hAnsi="Times New Roman"/>
          <w:color w:val="auto"/>
          <w:sz w:val="16"/>
          <w:szCs w:val="16"/>
          <w:lang w:val="uk-UA"/>
        </w:rPr>
      </w:pPr>
      <w:r>
        <w:rPr>
          <w:rFonts w:ascii="Times New Roman" w:hAnsi="Times New Roman"/>
          <w:color w:val="auto"/>
          <w:sz w:val="16"/>
          <w:szCs w:val="16"/>
          <w:lang w:val="uk-UA"/>
        </w:rPr>
      </w:r>
      <w:r>
        <w:rPr>
          <w:rFonts w:ascii="Times New Roman" w:hAnsi="Times New Roman"/>
          <w:color w:val="auto"/>
          <w:sz w:val="16"/>
          <w:szCs w:val="16"/>
          <w:lang w:val="uk-UA"/>
        </w:rPr>
      </w:r>
    </w:p>
    <w:tbl>
      <w:tblPr>
        <w:tblW w:w="15593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530"/>
        <w:gridCol w:w="1738"/>
        <w:gridCol w:w="1409"/>
        <w:gridCol w:w="841"/>
        <w:gridCol w:w="6"/>
        <w:gridCol w:w="564"/>
        <w:gridCol w:w="14"/>
        <w:gridCol w:w="1081"/>
        <w:gridCol w:w="6"/>
        <w:gridCol w:w="1374"/>
        <w:gridCol w:w="12"/>
        <w:gridCol w:w="708"/>
        <w:gridCol w:w="6"/>
        <w:gridCol w:w="776"/>
        <w:gridCol w:w="6"/>
        <w:gridCol w:w="669"/>
        <w:gridCol w:w="6"/>
        <w:gridCol w:w="534"/>
        <w:gridCol w:w="12"/>
        <w:gridCol w:w="1114"/>
        <w:gridCol w:w="6"/>
        <w:gridCol w:w="1407"/>
        <w:gridCol w:w="6"/>
        <w:gridCol w:w="624"/>
        <w:gridCol w:w="6"/>
        <w:gridCol w:w="610"/>
        <w:gridCol w:w="6"/>
        <w:gridCol w:w="1522"/>
      </w:tblGrid>
      <w:tr>
        <w:trPr/>
        <w:tc>
          <w:tcPr>
            <w:tcBorders/>
            <w:tcW w:w="530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№ з/п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  <w:tc>
          <w:tcPr>
            <w:tcBorders/>
            <w:tcW w:w="1738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Захід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  <w:tc>
          <w:tcPr>
            <w:tcBorders/>
            <w:tcW w:w="1409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Головний виконавець та строк виконання заходу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  <w:tc>
          <w:tcPr>
            <w:gridSpan w:val="12"/>
            <w:tcBorders/>
            <w:tcW w:w="5394" w:type="dxa"/>
            <w:textDirection w:val="lrTb"/>
            <w:noWrap w:val="false"/>
          </w:tcPr>
          <w:p>
            <w:pPr>
              <w:pBdr/>
              <w:spacing/>
              <w:ind w:right="-113" w:left="-113"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Бюджетні асигнування з урахуванням змін, тис. грн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  <w:tc>
          <w:tcPr>
            <w:gridSpan w:val="12"/>
            <w:tcBorders/>
            <w:tcW w:w="500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Проведені видатки, тис. грн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  <w:tc>
          <w:tcPr>
            <w:tcBorders/>
            <w:tcW w:w="1522" w:type="dxa"/>
            <w:vMerge w:val="restart"/>
            <w:textDirection w:val="lrTb"/>
            <w:noWrap w:val="false"/>
          </w:tcPr>
          <w:p>
            <w:pPr>
              <w:pBdr/>
              <w:spacing/>
              <w:ind w:right="-120" w:left="-108"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Стан виконання заходів (результативні показники виконання програми)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</w:tr>
      <w:tr>
        <w:trPr>
          <w:trHeight w:val="0"/>
        </w:trPr>
        <w:tc>
          <w:tcPr>
            <w:tcBorders/>
            <w:tcW w:w="530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  <w:tc>
          <w:tcPr>
            <w:tcBorders/>
            <w:tcW w:w="1738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  <w:tc>
          <w:tcPr>
            <w:tcBorders/>
            <w:tcW w:w="1409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  <w:tc>
          <w:tcPr>
            <w:gridSpan w:val="2"/>
            <w:tcBorders/>
            <w:tcW w:w="847" w:type="dxa"/>
            <w:vAlign w:val="center"/>
            <w:vMerge w:val="restart"/>
            <w:textDirection w:val="btLr"/>
            <w:noWrap w:val="false"/>
          </w:tcPr>
          <w:p>
            <w:pPr>
              <w:pBdr/>
              <w:spacing/>
              <w:ind w:right="113" w:left="113"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Усього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  <w:tc>
          <w:tcPr>
            <w:gridSpan w:val="10"/>
            <w:tcBorders/>
            <w:tcW w:w="454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у тому числі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  <w:tc>
          <w:tcPr>
            <w:gridSpan w:val="2"/>
            <w:tcBorders/>
            <w:tcW w:w="675" w:type="dxa"/>
            <w:vAlign w:val="center"/>
            <w:vMerge w:val="restart"/>
            <w:textDirection w:val="btLr"/>
            <w:noWrap w:val="false"/>
          </w:tcPr>
          <w:p>
            <w:pPr>
              <w:pBdr/>
              <w:spacing/>
              <w:ind w:right="113" w:left="113"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Усього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  <w:tc>
          <w:tcPr>
            <w:gridSpan w:val="10"/>
            <w:tcBorders/>
            <w:tcW w:w="432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у тому числі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  <w:tc>
          <w:tcPr>
            <w:tcBorders/>
            <w:tcW w:w="1522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</w:tr>
      <w:tr>
        <w:trPr>
          <w:cantSplit/>
          <w:trHeight w:val="2990"/>
        </w:trPr>
        <w:tc>
          <w:tcPr>
            <w:tcBorders/>
            <w:tcW w:w="530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  <w:tc>
          <w:tcPr>
            <w:tcBorders/>
            <w:tcW w:w="1738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  <w:tc>
          <w:tcPr>
            <w:tcBorders/>
            <w:tcW w:w="1409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  <w:tc>
          <w:tcPr>
            <w:gridSpan w:val="2"/>
            <w:tcBorders/>
            <w:tcW w:w="847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  <w:tc>
          <w:tcPr>
            <w:gridSpan w:val="2"/>
            <w:tcBorders/>
            <w:tcW w:w="578" w:type="dxa"/>
            <w:vAlign w:val="center"/>
            <w:textDirection w:val="btLr"/>
            <w:noWrap w:val="false"/>
          </w:tcPr>
          <w:p>
            <w:pPr>
              <w:pBdr/>
              <w:spacing/>
              <w:ind w:right="113" w:left="113"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обласний бюджет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  <w:tc>
          <w:tcPr>
            <w:gridSpan w:val="2"/>
            <w:tcBorders/>
            <w:tcW w:w="1087" w:type="dxa"/>
            <w:vAlign w:val="center"/>
            <w:textDirection w:val="btLr"/>
            <w:noWrap w:val="false"/>
          </w:tcPr>
          <w:p>
            <w:pPr>
              <w:pBdr/>
              <w:spacing/>
              <w:ind w:right="113" w:left="113"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районний, міський (міст обласного підпорядкування) бюджети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  <w:tc>
          <w:tcPr>
            <w:gridSpan w:val="2"/>
            <w:tcBorders/>
            <w:tcW w:w="1386" w:type="dxa"/>
            <w:vAlign w:val="center"/>
            <w:textDirection w:val="btLr"/>
            <w:noWrap w:val="false"/>
          </w:tcPr>
          <w:p>
            <w:pPr>
              <w:pBdr/>
              <w:spacing/>
              <w:ind w:right="113" w:left="113"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бюджети сіл, селищ, міст районного підпорядкування 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br/>
              <w:t xml:space="preserve">(в 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т.ч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. об’єднаних територіальних громад)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  <w:tc>
          <w:tcPr>
            <w:gridSpan w:val="2"/>
            <w:tcBorders/>
            <w:tcW w:w="714" w:type="dxa"/>
            <w:vAlign w:val="center"/>
            <w:textDirection w:val="btLr"/>
            <w:noWrap w:val="false"/>
          </w:tcPr>
          <w:p>
            <w:pPr>
              <w:pBdr/>
              <w:spacing/>
              <w:ind w:right="113" w:left="113"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кошти небюджетних джерел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  <w:tc>
          <w:tcPr>
            <w:gridSpan w:val="2"/>
            <w:tcBorders/>
            <w:tcW w:w="782" w:type="dxa"/>
            <w:vAlign w:val="center"/>
            <w:textDirection w:val="btLr"/>
            <w:noWrap w:val="false"/>
          </w:tcPr>
          <w:p>
            <w:pPr>
              <w:pBdr/>
              <w:spacing/>
              <w:ind w:right="113" w:left="113"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довідково: державний бюджет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  <w:tc>
          <w:tcPr>
            <w:gridSpan w:val="2"/>
            <w:tcBorders/>
            <w:tcW w:w="675" w:type="dxa"/>
            <w:vAlign w:val="center"/>
            <w:vMerge w:val="continue"/>
            <w:textDirection w:val="btLr"/>
            <w:noWrap w:val="false"/>
          </w:tcPr>
          <w:p>
            <w:pPr>
              <w:pBdr/>
              <w:spacing/>
              <w:ind w:right="113" w:left="113"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  <w:tc>
          <w:tcPr>
            <w:gridSpan w:val="2"/>
            <w:tcBorders/>
            <w:tcW w:w="546" w:type="dxa"/>
            <w:vAlign w:val="center"/>
            <w:textDirection w:val="btLr"/>
            <w:noWrap w:val="false"/>
          </w:tcPr>
          <w:p>
            <w:pPr>
              <w:pBdr/>
              <w:spacing/>
              <w:ind w:right="113" w:left="113"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обласний бюджет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  <w:tc>
          <w:tcPr>
            <w:gridSpan w:val="2"/>
            <w:tcBorders/>
            <w:tcW w:w="1120" w:type="dxa"/>
            <w:vAlign w:val="center"/>
            <w:textDirection w:val="btLr"/>
            <w:noWrap w:val="false"/>
          </w:tcPr>
          <w:p>
            <w:pPr>
              <w:pBdr/>
              <w:spacing/>
              <w:ind w:right="113" w:left="113"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районний, міський (міст обласного підпорядкування) бюджети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  <w:tc>
          <w:tcPr>
            <w:gridSpan w:val="2"/>
            <w:tcBorders/>
            <w:tcW w:w="1413" w:type="dxa"/>
            <w:vAlign w:val="center"/>
            <w:textDirection w:val="btLr"/>
            <w:noWrap w:val="false"/>
          </w:tcPr>
          <w:p>
            <w:pPr>
              <w:pBdr/>
              <w:spacing/>
              <w:ind w:right="113" w:left="113"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бюджети сіл, селищ, міст районного підпорядкування 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br/>
              <w:t xml:space="preserve">(в 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т.ч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. об’єднаних територіальних громад)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  <w:tc>
          <w:tcPr>
            <w:gridSpan w:val="2"/>
            <w:tcBorders/>
            <w:tcW w:w="630" w:type="dxa"/>
            <w:vAlign w:val="center"/>
            <w:textDirection w:val="btLr"/>
            <w:noWrap w:val="false"/>
          </w:tcPr>
          <w:p>
            <w:pPr>
              <w:pBdr/>
              <w:spacing/>
              <w:ind w:right="113" w:left="113"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кошти небюджетних джерел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  <w:tc>
          <w:tcPr>
            <w:gridSpan w:val="2"/>
            <w:tcBorders/>
            <w:tcW w:w="616" w:type="dxa"/>
            <w:vAlign w:val="center"/>
            <w:textDirection w:val="btLr"/>
            <w:noWrap w:val="false"/>
          </w:tcPr>
          <w:p>
            <w:pPr>
              <w:pBdr/>
              <w:spacing/>
              <w:ind w:right="113" w:left="113"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довідково: державний бюджет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  <w:tc>
          <w:tcPr>
            <w:tcBorders/>
            <w:tcW w:w="1522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</w:tr>
      <w:tr>
        <w:trPr>
          <w:cantSplit/>
          <w:trHeight w:val="1691"/>
        </w:trPr>
        <w:tc>
          <w:tcPr>
            <w:tcBorders/>
            <w:tcW w:w="530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1.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  <w:tc>
          <w:tcPr>
            <w:tcBorders/>
            <w:tcW w:w="1738" w:type="dxa"/>
            <w:textDirection w:val="lrTb"/>
            <w:noWrap w:val="false"/>
          </w:tcPr>
          <w:p>
            <w:pPr>
              <w:pStyle w:val="641"/>
              <w:pBdr/>
              <w:spacing/>
              <w:ind/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1.</w:t>
            </w:r>
            <w:r>
              <w:rPr>
                <w:color w:val="auto"/>
              </w:rPr>
              <w:t xml:space="preserve">1.2. </w:t>
            </w:r>
            <w:r>
              <w:rPr>
                <w:color w:val="auto"/>
              </w:rPr>
              <w:t xml:space="preserve">О</w:t>
            </w:r>
            <w:r>
              <w:rPr>
                <w:bCs/>
                <w:spacing w:val="-5"/>
              </w:rPr>
              <w:t xml:space="preserve">блад</w:t>
            </w:r>
            <w:r>
              <w:rPr>
                <w:bCs/>
                <w:spacing w:val="-5"/>
              </w:rPr>
              <w:t xml:space="preserve">-</w:t>
            </w:r>
            <w:r>
              <w:rPr>
                <w:bCs/>
                <w:spacing w:val="-5"/>
              </w:rPr>
              <w:t xml:space="preserve">нання</w:t>
            </w:r>
            <w:r>
              <w:rPr>
                <w:bCs/>
                <w:spacing w:val="-5"/>
              </w:rPr>
              <w:t xml:space="preserve"> меблями та технічними засобами для забезпечення </w:t>
            </w:r>
            <w:r>
              <w:rPr>
                <w:bCs/>
                <w:spacing w:val="-5"/>
              </w:rPr>
              <w:t xml:space="preserve">життєдіяльно-сті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</w:rPr>
            </w:r>
          </w:p>
        </w:tc>
        <w:tc>
          <w:tcPr>
            <w:tcBorders/>
            <w:tcW w:w="140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Департа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-мент з питань ЦЗ та ОР ОДА,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2024 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  <w:tc>
          <w:tcPr>
            <w:tcBorders/>
            <w:tcW w:w="841" w:type="dxa"/>
            <w:textDirection w:val="btLr"/>
            <w:noWrap w:val="false"/>
          </w:tcPr>
          <w:p>
            <w:pPr>
              <w:pBdr/>
              <w:spacing/>
              <w:ind w:right="113"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8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0,0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  <w:tc>
          <w:tcPr>
            <w:gridSpan w:val="2"/>
            <w:tcBorders/>
            <w:tcW w:w="570" w:type="dxa"/>
            <w:textDirection w:val="btLr"/>
            <w:noWrap w:val="false"/>
          </w:tcPr>
          <w:p>
            <w:pPr>
              <w:pBdr/>
              <w:spacing/>
              <w:ind w:right="113"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8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0,0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  <w:tc>
          <w:tcPr>
            <w:gridSpan w:val="2"/>
            <w:tcBorders/>
            <w:tcW w:w="1095" w:type="dxa"/>
            <w:textDirection w:val="btLr"/>
            <w:noWrap w:val="false"/>
          </w:tcPr>
          <w:p>
            <w:pPr>
              <w:pBdr/>
              <w:spacing/>
              <w:ind w:right="113"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-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  <w:tc>
          <w:tcPr>
            <w:gridSpan w:val="2"/>
            <w:tcBorders/>
            <w:tcW w:w="1380" w:type="dxa"/>
            <w:textDirection w:val="btLr"/>
            <w:noWrap w:val="false"/>
          </w:tcPr>
          <w:p>
            <w:pPr>
              <w:pBdr/>
              <w:spacing/>
              <w:ind w:right="113"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-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  <w:tc>
          <w:tcPr>
            <w:gridSpan w:val="2"/>
            <w:tcBorders/>
            <w:tcW w:w="720" w:type="dxa"/>
            <w:textDirection w:val="btLr"/>
            <w:noWrap w:val="false"/>
          </w:tcPr>
          <w:p>
            <w:pPr>
              <w:pBdr/>
              <w:spacing/>
              <w:ind w:right="113"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-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  <w:tc>
          <w:tcPr>
            <w:gridSpan w:val="2"/>
            <w:tcBorders/>
            <w:tcW w:w="782" w:type="dxa"/>
            <w:textDirection w:val="btLr"/>
            <w:noWrap w:val="false"/>
          </w:tcPr>
          <w:p>
            <w:pPr>
              <w:pBdr/>
              <w:spacing/>
              <w:ind w:right="113"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-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  <w:tc>
          <w:tcPr>
            <w:gridSpan w:val="2"/>
            <w:tcBorders/>
            <w:tcW w:w="675" w:type="dxa"/>
            <w:textDirection w:val="btLr"/>
            <w:noWrap w:val="false"/>
          </w:tcPr>
          <w:p>
            <w:pPr>
              <w:pBdr/>
              <w:spacing/>
              <w:ind w:right="113"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80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,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0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  <w:tc>
          <w:tcPr>
            <w:gridSpan w:val="2"/>
            <w:tcBorders/>
            <w:tcW w:w="540" w:type="dxa"/>
            <w:textDirection w:val="btLr"/>
            <w:noWrap w:val="false"/>
          </w:tcPr>
          <w:p>
            <w:pPr>
              <w:pBdr/>
              <w:spacing/>
              <w:ind w:right="113"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80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,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0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  <w:tc>
          <w:tcPr>
            <w:gridSpan w:val="2"/>
            <w:tcBorders/>
            <w:tcW w:w="1126" w:type="dxa"/>
            <w:textDirection w:val="btLr"/>
            <w:noWrap w:val="false"/>
          </w:tcPr>
          <w:p>
            <w:pPr>
              <w:pBdr/>
              <w:spacing/>
              <w:ind w:right="113"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-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  <w:tc>
          <w:tcPr>
            <w:gridSpan w:val="2"/>
            <w:tcBorders/>
            <w:tcW w:w="1413" w:type="dxa"/>
            <w:textDirection w:val="btLr"/>
            <w:noWrap w:val="false"/>
          </w:tcPr>
          <w:p>
            <w:pPr>
              <w:pBdr/>
              <w:spacing/>
              <w:ind w:right="113"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-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  <w:tc>
          <w:tcPr>
            <w:gridSpan w:val="2"/>
            <w:tcBorders/>
            <w:tcW w:w="630" w:type="dxa"/>
            <w:textDirection w:val="btLr"/>
            <w:noWrap w:val="false"/>
          </w:tcPr>
          <w:p>
            <w:pPr>
              <w:pBdr/>
              <w:spacing/>
              <w:ind w:right="113"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-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  <w:tc>
          <w:tcPr>
            <w:gridSpan w:val="2"/>
            <w:tcBorders/>
            <w:tcW w:w="616" w:type="dxa"/>
            <w:textDirection w:val="btLr"/>
            <w:noWrap w:val="false"/>
          </w:tcPr>
          <w:p>
            <w:pPr>
              <w:pBdr/>
              <w:spacing/>
              <w:ind w:right="113"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-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  <w:tc>
          <w:tcPr>
            <w:gridSpan w:val="2"/>
            <w:tcBorders/>
            <w:tcW w:w="1528" w:type="dxa"/>
            <w:textDirection w:val="lrTb"/>
            <w:noWrap w:val="false"/>
          </w:tcPr>
          <w:p>
            <w:pPr>
              <w:pBdr/>
              <w:spacing/>
              <w:ind w:right="-112" w:left="3"/>
              <w:jc w:val="both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hint="eastAsia" w:ascii="Times New Roman" w:hAnsi="Times New Roman"/>
                <w:color w:val="auto"/>
                <w:szCs w:val="24"/>
                <w:lang w:val="uk-UA"/>
              </w:rPr>
              <w:t xml:space="preserve">Приміщення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szCs w:val="24"/>
                <w:lang w:val="uk-UA"/>
              </w:rPr>
              <w:t xml:space="preserve">та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szCs w:val="24"/>
                <w:lang w:val="uk-UA"/>
              </w:rPr>
              <w:t xml:space="preserve">робочі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szCs w:val="24"/>
                <w:lang w:val="uk-UA"/>
              </w:rPr>
              <w:t xml:space="preserve">місця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szCs w:val="24"/>
                <w:lang w:val="uk-UA"/>
              </w:rPr>
              <w:t xml:space="preserve">укомплектовано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szCs w:val="24"/>
                <w:lang w:val="uk-UA"/>
              </w:rPr>
              <w:t xml:space="preserve">меблями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szCs w:val="24"/>
                <w:lang w:val="uk-UA"/>
              </w:rPr>
              <w:t xml:space="preserve">та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szCs w:val="24"/>
                <w:lang w:val="uk-UA"/>
              </w:rPr>
              <w:t xml:space="preserve">технічними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szCs w:val="24"/>
                <w:lang w:val="uk-UA"/>
              </w:rPr>
              <w:t xml:space="preserve">засобами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szCs w:val="24"/>
                <w:lang w:val="uk-UA"/>
              </w:rPr>
              <w:t xml:space="preserve">для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szCs w:val="24"/>
                <w:lang w:val="uk-UA"/>
              </w:rPr>
              <w:t xml:space="preserve">забезпечення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szCs w:val="24"/>
                <w:lang w:val="uk-UA"/>
              </w:rPr>
              <w:t xml:space="preserve">життєдіяльності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 пункту управління.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</w:tr>
      <w:tr>
        <w:trPr>
          <w:cantSplit/>
          <w:trHeight w:val="177"/>
        </w:trPr>
        <w:tc>
          <w:tcPr>
            <w:tcBorders/>
            <w:tcW w:w="530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2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.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  <w:tc>
          <w:tcPr>
            <w:tcBorders/>
            <w:tcW w:w="1738" w:type="dxa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>
                <w:rFonts w:ascii="Times New Roman" w:hAnsi="Times New Roman"/>
                <w:bCs/>
                <w:spacing w:val="-5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pacing w:val="-5"/>
                <w:szCs w:val="24"/>
                <w:lang w:val="uk-UA"/>
              </w:rPr>
              <w:t xml:space="preserve">2.4. Придбання матеріально-технічних засобів для забезпечення військових частин</w:t>
            </w:r>
            <w:r>
              <w:rPr>
                <w:rFonts w:ascii="Times New Roman" w:hAnsi="Times New Roman"/>
                <w:bCs/>
                <w:spacing w:val="-5"/>
                <w:szCs w:val="24"/>
                <w:lang w:val="uk-UA"/>
              </w:rPr>
              <w:t xml:space="preserve"> та інших сил оборони</w:t>
            </w:r>
            <w:r>
              <w:rPr>
                <w:rFonts w:ascii="Times New Roman" w:hAnsi="Times New Roman"/>
                <w:bCs/>
                <w:spacing w:val="-5"/>
                <w:szCs w:val="24"/>
                <w:lang w:val="uk-UA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szCs w:val="24"/>
                <w:lang w:val="ru-RU"/>
              </w:rPr>
            </w:r>
            <w:r>
              <w:rPr>
                <w:rFonts w:ascii="Times New Roman" w:hAnsi="Times New Roman"/>
                <w:szCs w:val="24"/>
                <w:lang w:val="ru-RU"/>
              </w:rPr>
            </w:r>
          </w:p>
        </w:tc>
        <w:tc>
          <w:tcPr>
            <w:tcBorders/>
            <w:tcW w:w="140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Департа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-мент з питань ЦЗ та ОР ОДА,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2024 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  <w:tc>
          <w:tcPr>
            <w:tcBorders/>
            <w:tcW w:w="841" w:type="dxa"/>
            <w:textDirection w:val="btLr"/>
            <w:noWrap w:val="false"/>
          </w:tcPr>
          <w:p>
            <w:pPr>
              <w:pBdr/>
              <w:spacing w:after="200" w:line="276" w:lineRule="auto"/>
              <w:ind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25011,6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  <w:tc>
          <w:tcPr>
            <w:gridSpan w:val="2"/>
            <w:tcBorders/>
            <w:tcW w:w="570" w:type="dxa"/>
            <w:textDirection w:val="btLr"/>
            <w:noWrap w:val="false"/>
          </w:tcPr>
          <w:p>
            <w:pPr>
              <w:pBdr/>
              <w:spacing w:after="200" w:line="276" w:lineRule="auto"/>
              <w:ind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25011,6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  <w:tc>
          <w:tcPr>
            <w:gridSpan w:val="2"/>
            <w:tcBorders/>
            <w:tcW w:w="1095" w:type="dxa"/>
            <w:textDirection w:val="btLr"/>
            <w:noWrap w:val="false"/>
          </w:tcPr>
          <w:p>
            <w:pPr>
              <w:pBdr/>
              <w:spacing w:after="200" w:line="276" w:lineRule="auto"/>
              <w:ind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-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  <w:tc>
          <w:tcPr>
            <w:gridSpan w:val="2"/>
            <w:tcBorders/>
            <w:tcW w:w="1380" w:type="dxa"/>
            <w:textDirection w:val="btLr"/>
            <w:noWrap w:val="false"/>
          </w:tcPr>
          <w:p>
            <w:pPr>
              <w:pBdr/>
              <w:spacing w:after="200" w:line="276" w:lineRule="auto"/>
              <w:ind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-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  <w:tc>
          <w:tcPr>
            <w:gridSpan w:val="2"/>
            <w:tcBorders/>
            <w:tcW w:w="720" w:type="dxa"/>
            <w:textDirection w:val="btLr"/>
            <w:noWrap w:val="false"/>
          </w:tcPr>
          <w:p>
            <w:pPr>
              <w:pBdr/>
              <w:spacing w:after="200" w:line="276" w:lineRule="auto"/>
              <w:ind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-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  <w:tc>
          <w:tcPr>
            <w:gridSpan w:val="2"/>
            <w:tcBorders/>
            <w:tcW w:w="782" w:type="dxa"/>
            <w:textDirection w:val="btLr"/>
            <w:noWrap w:val="false"/>
          </w:tcPr>
          <w:p>
            <w:pPr>
              <w:pBdr/>
              <w:spacing w:after="200" w:line="276" w:lineRule="auto"/>
              <w:ind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-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  <w:tc>
          <w:tcPr>
            <w:gridSpan w:val="2"/>
            <w:tcBorders/>
            <w:tcW w:w="675" w:type="dxa"/>
            <w:textDirection w:val="btLr"/>
            <w:noWrap w:val="false"/>
          </w:tcPr>
          <w:p>
            <w:pPr>
              <w:pBdr/>
              <w:spacing w:after="200" w:line="276" w:lineRule="auto"/>
              <w:ind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24958,2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  <w:tc>
          <w:tcPr>
            <w:gridSpan w:val="2"/>
            <w:tcBorders/>
            <w:tcW w:w="540" w:type="dxa"/>
            <w:textDirection w:val="btLr"/>
            <w:noWrap w:val="false"/>
          </w:tcPr>
          <w:p>
            <w:pPr>
              <w:pBdr/>
              <w:spacing w:after="200" w:line="276" w:lineRule="auto"/>
              <w:ind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24958,2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  <w:tc>
          <w:tcPr>
            <w:gridSpan w:val="2"/>
            <w:tcBorders/>
            <w:tcW w:w="1126" w:type="dxa"/>
            <w:textDirection w:val="btLr"/>
            <w:noWrap w:val="false"/>
          </w:tcPr>
          <w:p>
            <w:pPr>
              <w:pBdr/>
              <w:spacing w:after="200" w:line="276" w:lineRule="auto"/>
              <w:ind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-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  <w:tc>
          <w:tcPr>
            <w:gridSpan w:val="2"/>
            <w:tcBorders/>
            <w:tcW w:w="1413" w:type="dxa"/>
            <w:textDirection w:val="btLr"/>
            <w:noWrap w:val="false"/>
          </w:tcPr>
          <w:p>
            <w:pPr>
              <w:pBdr/>
              <w:spacing w:after="200" w:line="276" w:lineRule="auto"/>
              <w:ind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-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  <w:tc>
          <w:tcPr>
            <w:gridSpan w:val="2"/>
            <w:tcBorders/>
            <w:tcW w:w="630" w:type="dxa"/>
            <w:textDirection w:val="btLr"/>
            <w:noWrap w:val="false"/>
          </w:tcPr>
          <w:p>
            <w:pPr>
              <w:pBdr/>
              <w:spacing w:after="200" w:line="276" w:lineRule="auto"/>
              <w:ind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-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  <w:tc>
          <w:tcPr>
            <w:gridSpan w:val="2"/>
            <w:tcBorders/>
            <w:tcW w:w="616" w:type="dxa"/>
            <w:textDirection w:val="btLr"/>
            <w:noWrap w:val="false"/>
          </w:tcPr>
          <w:p>
            <w:pPr>
              <w:pBdr/>
              <w:spacing w:after="200" w:line="276" w:lineRule="auto"/>
              <w:ind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-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  <w:tc>
          <w:tcPr>
            <w:gridSpan w:val="2"/>
            <w:tcBorders/>
            <w:tcW w:w="1528" w:type="dxa"/>
            <w:textDirection w:val="lrTb"/>
            <w:noWrap w:val="false"/>
          </w:tcPr>
          <w:p>
            <w:pPr>
              <w:pBdr/>
              <w:spacing/>
              <w:ind w:right="-112"/>
              <w:jc w:val="both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hint="eastAsia" w:ascii="Times New Roman" w:hAnsi="Times New Roman"/>
                <w:color w:val="auto"/>
                <w:szCs w:val="24"/>
                <w:lang w:val="uk-UA"/>
              </w:rPr>
              <w:t xml:space="preserve">Військові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szCs w:val="24"/>
                <w:lang w:val="uk-UA"/>
              </w:rPr>
              <w:t xml:space="preserve">частини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szCs w:val="24"/>
                <w:lang w:val="uk-UA"/>
              </w:rPr>
              <w:t xml:space="preserve">та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szCs w:val="24"/>
                <w:lang w:val="uk-UA"/>
              </w:rPr>
              <w:t xml:space="preserve">інші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szCs w:val="24"/>
                <w:lang w:val="uk-UA"/>
              </w:rPr>
              <w:t xml:space="preserve">сили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szCs w:val="24"/>
                <w:lang w:val="uk-UA"/>
              </w:rPr>
              <w:t xml:space="preserve">оборони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szCs w:val="24"/>
                <w:lang w:val="uk-UA"/>
              </w:rPr>
              <w:t xml:space="preserve">забезпечено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szCs w:val="24"/>
                <w:lang w:val="uk-UA"/>
              </w:rPr>
              <w:t xml:space="preserve">матеріально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-</w:t>
            </w:r>
            <w:r>
              <w:rPr>
                <w:rFonts w:hint="eastAsia" w:ascii="Times New Roman" w:hAnsi="Times New Roman"/>
                <w:color w:val="auto"/>
                <w:szCs w:val="24"/>
                <w:lang w:val="uk-UA"/>
              </w:rPr>
              <w:t xml:space="preserve">технічними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szCs w:val="24"/>
                <w:lang w:val="uk-UA"/>
              </w:rPr>
              <w:t xml:space="preserve">засобами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.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</w:tr>
    </w:tbl>
    <w:p>
      <w:pPr>
        <w:pBdr/>
        <w:shd w:val="clear" w:color="auto" w:fill="ffffff"/>
        <w:spacing/>
        <w:ind w:firstLine="146" w:left="34"/>
        <w:jc w:val="both"/>
        <w:rPr>
          <w:rFonts w:ascii="Times New Roman" w:hAnsi="Times New Roman"/>
          <w:color w:val="auto"/>
          <w:szCs w:val="24"/>
          <w:highlight w:val="yellow"/>
          <w:lang w:val="uk-UA"/>
        </w:rPr>
      </w:pPr>
      <w:r>
        <w:rPr>
          <w:rFonts w:ascii="Times New Roman" w:hAnsi="Times New Roman"/>
          <w:color w:val="auto"/>
          <w:szCs w:val="24"/>
          <w:highlight w:val="yellow"/>
          <w:lang w:val="uk-UA"/>
        </w:rPr>
      </w:r>
      <w:r>
        <w:rPr>
          <w:rFonts w:ascii="Times New Roman" w:hAnsi="Times New Roman"/>
          <w:color w:val="auto"/>
          <w:szCs w:val="24"/>
          <w:highlight w:val="yellow"/>
          <w:lang w:val="uk-UA"/>
        </w:rPr>
      </w:r>
    </w:p>
    <w:p>
      <w:pPr>
        <w:pBdr/>
        <w:shd w:val="clear" w:color="auto" w:fill="ffffff"/>
        <w:spacing/>
        <w:ind w:firstLine="146" w:left="34"/>
        <w:jc w:val="both"/>
        <w:rPr>
          <w:rFonts w:ascii="Times New Roman" w:hAnsi="Times New Roman"/>
          <w:color w:val="auto"/>
          <w:szCs w:val="24"/>
          <w:lang w:val="uk-UA"/>
        </w:rPr>
      </w:pPr>
      <w:r>
        <w:rPr>
          <w:rFonts w:ascii="Times New Roman" w:hAnsi="Times New Roman"/>
          <w:color w:val="auto"/>
          <w:szCs w:val="24"/>
          <w:lang w:val="uk-UA"/>
        </w:rPr>
        <w:t xml:space="preserve">5</w:t>
      </w:r>
      <w:r>
        <w:rPr>
          <w:rFonts w:ascii="Times New Roman" w:hAnsi="Times New Roman"/>
          <w:color w:val="auto"/>
          <w:szCs w:val="24"/>
          <w:lang w:val="uk-UA"/>
        </w:rPr>
        <w:t xml:space="preserve">. Аналіз виконання за видатками в цілому за програмою:</w:t>
      </w:r>
      <w:r>
        <w:rPr>
          <w:rFonts w:ascii="Times New Roman" w:hAnsi="Times New Roman"/>
          <w:color w:val="auto"/>
          <w:szCs w:val="24"/>
          <w:lang w:val="uk-UA"/>
        </w:rPr>
      </w:r>
    </w:p>
    <w:p>
      <w:pPr>
        <w:pBdr/>
        <w:shd w:val="clear" w:color="auto" w:fill="ffffff"/>
        <w:spacing/>
        <w:ind w:firstLine="146" w:left="34"/>
        <w:jc w:val="right"/>
        <w:rPr>
          <w:rFonts w:ascii="Times New Roman" w:hAnsi="Times New Roman"/>
          <w:color w:val="auto"/>
          <w:szCs w:val="24"/>
          <w:lang w:val="uk-UA"/>
        </w:rPr>
      </w:pPr>
      <w:r>
        <w:rPr>
          <w:rFonts w:ascii="Times New Roman" w:hAnsi="Times New Roman"/>
          <w:color w:val="auto"/>
          <w:szCs w:val="24"/>
          <w:lang w:val="uk-UA"/>
        </w:rPr>
        <w:t xml:space="preserve">тис. грн.</w:t>
      </w:r>
      <w:r>
        <w:rPr>
          <w:rFonts w:ascii="Times New Roman" w:hAnsi="Times New Roman"/>
          <w:color w:val="auto"/>
          <w:szCs w:val="24"/>
          <w:lang w:val="uk-UA"/>
        </w:rPr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1696"/>
        <w:gridCol w:w="1705"/>
        <w:gridCol w:w="1717"/>
        <w:gridCol w:w="1697"/>
        <w:gridCol w:w="1706"/>
        <w:gridCol w:w="1718"/>
        <w:gridCol w:w="1689"/>
        <w:gridCol w:w="1706"/>
        <w:gridCol w:w="1718"/>
      </w:tblGrid>
      <w:tr>
        <w:trPr/>
        <w:tc>
          <w:tcPr>
            <w:gridSpan w:val="3"/>
            <w:tcBorders/>
            <w:tcW w:w="512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Бюджетні асигнування з урахуванням змін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  <w:tc>
          <w:tcPr>
            <w:gridSpan w:val="3"/>
            <w:tcBorders/>
            <w:tcW w:w="512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Проведені видатки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  <w:tc>
          <w:tcPr>
            <w:gridSpan w:val="3"/>
            <w:tcBorders/>
            <w:tcW w:w="511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Відхилення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</w:tr>
      <w:tr>
        <w:trPr>
          <w:trHeight w:val="720"/>
        </w:trPr>
        <w:tc>
          <w:tcPr>
            <w:tcBorders/>
            <w:tcW w:w="169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усього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  <w:tc>
          <w:tcPr>
            <w:tcBorders/>
            <w:tcW w:w="170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загальний фонд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  <w:tc>
          <w:tcPr>
            <w:tcBorders/>
            <w:tcW w:w="171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спеціальний фонд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  <w:tc>
          <w:tcPr>
            <w:tcBorders/>
            <w:tcW w:w="169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усього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  <w:tc>
          <w:tcPr>
            <w:tcBorders/>
            <w:tcW w:w="170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загальний фонд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  <w:tc>
          <w:tcPr>
            <w:tcBorders/>
            <w:tcW w:w="171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спеціальний фонд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  <w:tc>
          <w:tcPr>
            <w:tcBorders/>
            <w:tcW w:w="168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усього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  <w:tc>
          <w:tcPr>
            <w:tcBorders/>
            <w:tcW w:w="170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загальний фонд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  <w:tc>
          <w:tcPr>
            <w:tcBorders/>
            <w:tcW w:w="171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спеціальний фонд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</w:tr>
      <w:tr>
        <w:trPr>
          <w:trHeight w:val="58"/>
        </w:trPr>
        <w:tc>
          <w:tcPr>
            <w:tcBorders/>
            <w:tcW w:w="169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auto"/>
                <w:szCs w:val="24"/>
                <w:highlight w:val="yellow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 xml:space="preserve">25091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,</w:t>
            </w:r>
            <w:r>
              <w:rPr>
                <w:rFonts w:ascii="Times New Roman" w:hAnsi="Times New Roman"/>
                <w:color w:val="auto"/>
                <w:szCs w:val="24"/>
              </w:rPr>
              <w:t xml:space="preserve">6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 *</w:t>
            </w:r>
            <w:r>
              <w:rPr>
                <w:rFonts w:ascii="Times New Roman" w:hAnsi="Times New Roman"/>
                <w:color w:val="auto"/>
                <w:szCs w:val="24"/>
                <w:highlight w:val="yellow"/>
                <w:lang w:val="uk-UA"/>
              </w:rPr>
            </w:r>
          </w:p>
        </w:tc>
        <w:tc>
          <w:tcPr>
            <w:tcBorders/>
            <w:tcW w:w="170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 xml:space="preserve">4323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,5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  <w:tc>
          <w:tcPr>
            <w:tcBorders/>
            <w:tcW w:w="171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20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768,0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  <w:tc>
          <w:tcPr>
            <w:tcBorders/>
            <w:tcW w:w="169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2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4958,2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  <w:tc>
          <w:tcPr>
            <w:tcBorders/>
            <w:tcW w:w="170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4190,2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  <w:tc>
          <w:tcPr>
            <w:tcBorders/>
            <w:tcW w:w="171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20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768,0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  <w:tc>
          <w:tcPr>
            <w:tcBorders/>
            <w:tcW w:w="168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133,3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  <w:tc>
          <w:tcPr>
            <w:tcBorders/>
            <w:tcW w:w="170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133,3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  <w:tc>
          <w:tcPr>
            <w:tcBorders/>
            <w:tcW w:w="171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0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,0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</w:tr>
    </w:tbl>
    <w:p>
      <w:pPr>
        <w:pBdr/>
        <w:spacing/>
        <w:ind/>
        <w:rPr>
          <w:rFonts w:ascii="Calibri" w:hAnsi="Calibri"/>
          <w:lang w:val="uk-UA"/>
        </w:rPr>
      </w:pPr>
      <w:r>
        <w:rPr>
          <w:rFonts w:ascii="Calibri" w:hAnsi="Calibri"/>
          <w:lang w:val="uk-UA"/>
        </w:rPr>
      </w:r>
      <w:r>
        <w:rPr>
          <w:rFonts w:ascii="Calibri" w:hAnsi="Calibri"/>
          <w:lang w:val="uk-UA"/>
        </w:rPr>
      </w:r>
    </w:p>
    <w:p>
      <w:pPr>
        <w:pBdr/>
        <w:spacing/>
        <w:ind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 xml:space="preserve">* Крім того, </w:t>
      </w:r>
      <w:r>
        <w:rPr>
          <w:rFonts w:ascii="Times New Roman" w:hAnsi="Times New Roman"/>
          <w:lang w:val="uk-UA"/>
        </w:rPr>
        <w:t xml:space="preserve">понад зазначену суму </w:t>
      </w:r>
      <w:r>
        <w:rPr>
          <w:rFonts w:ascii="Times New Roman" w:hAnsi="Times New Roman"/>
          <w:lang w:val="uk-UA"/>
        </w:rPr>
        <w:t xml:space="preserve">у рамках виконання п.2.1. додатку 2 до Програми була надана субвенція з обласного бюджету державному бюджету у сумі 400,0 тис. грн на закупівлю матеріально-технічних засобів.</w:t>
      </w:r>
      <w:r>
        <w:rPr>
          <w:rFonts w:ascii="Times New Roman" w:hAnsi="Times New Roman"/>
          <w:lang w:val="uk-UA"/>
        </w:rPr>
      </w:r>
    </w:p>
    <w:p>
      <w:pPr>
        <w:pBdr/>
        <w:spacing/>
        <w:ind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</w:r>
      <w:r>
        <w:rPr>
          <w:rFonts w:ascii="Times New Roman" w:hAnsi="Times New Roman"/>
          <w:lang w:val="uk-UA"/>
        </w:rPr>
      </w:r>
    </w:p>
    <w:p>
      <w:pPr>
        <w:pBdr/>
        <w:spacing/>
        <w:ind/>
        <w:rPr>
          <w:rFonts w:ascii="Calibri" w:hAnsi="Calibri"/>
          <w:lang w:val="uk-UA"/>
        </w:rPr>
      </w:pPr>
      <w:r>
        <w:rPr>
          <w:rFonts w:ascii="Calibri" w:hAnsi="Calibri"/>
          <w:lang w:val="uk-UA"/>
        </w:rPr>
      </w:r>
      <w:r>
        <w:rPr>
          <w:rFonts w:ascii="Calibri" w:hAnsi="Calibri"/>
          <w:lang w:val="uk-UA"/>
        </w:rPr>
      </w:r>
    </w:p>
    <w:p>
      <w:pPr>
        <w:pBdr/>
        <w:spacing/>
        <w:ind/>
        <w:rPr>
          <w:rFonts w:ascii="Calibri" w:hAnsi="Calibri"/>
          <w:lang w:val="uk-UA"/>
        </w:rPr>
      </w:pPr>
      <w:r>
        <w:rPr>
          <w:rFonts w:ascii="Calibri" w:hAnsi="Calibri"/>
          <w:lang w:val="uk-UA"/>
        </w:rPr>
      </w:r>
      <w:r>
        <w:rPr>
          <w:rFonts w:ascii="Calibri" w:hAnsi="Calibri"/>
          <w:lang w:val="uk-UA"/>
        </w:rPr>
      </w:r>
    </w:p>
    <w:sectPr>
      <w:footnotePr/>
      <w:endnotePr/>
      <w:type w:val="nextPage"/>
      <w:pgSz w:h="11906" w:orient="landscape" w:w="16838"/>
      <w:pgMar w:top="567" w:right="851" w:bottom="567" w:left="851" w:header="709" w:footer="709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Verdana">
    <w:panose1 w:val="020B0604030504040204"/>
  </w:font>
  <w:font w:name="Antiqua">
    <w:panose1 w:val="020B060303080402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 w:eastAsia="Times New Roman" w:cs="Times New Roman"/>
      </w:rPr>
      <w:start w:val="2024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">
    <w:lvl w:ilvl="0">
      <w:isLgl w:val="false"/>
      <w:lvlJc w:val="left"/>
      <w:lvlText w:val=""/>
      <w:numFmt w:val="bullet"/>
      <w:pPr>
        <w:pBdr/>
        <w:spacing/>
        <w:ind w:hanging="360" w:left="540"/>
      </w:pPr>
      <w:rPr>
        <w:rFonts w:hint="default" w:ascii="Symbol" w:hAnsi="Symbol" w:eastAsia="Times New Roman" w:cs="Times New Roman"/>
      </w:rPr>
      <w:start w:val="2024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26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198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70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42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14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486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58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300"/>
      </w:pPr>
      <w:rPr>
        <w:rFonts w:hint="default" w:ascii="Wingdings" w:hAnsi="Wingdings"/>
      </w:rPr>
      <w:start w:val="1"/>
      <w:suff w:val="tab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splitPgBreakAndParaMark w:val="true"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uk-UA" w:eastAsia="uk-UA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1">
    <w:name w:val="Table Grid"/>
    <w:basedOn w:val="636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">
    <w:name w:val="Table Grid Light"/>
    <w:basedOn w:val="63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Plain Table 1"/>
    <w:basedOn w:val="63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2"/>
    <w:basedOn w:val="63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3"/>
    <w:basedOn w:val="6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4"/>
    <w:basedOn w:val="6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5"/>
    <w:basedOn w:val="6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Grid Table 1 Light"/>
    <w:basedOn w:val="6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 - Accent 1"/>
    <w:basedOn w:val="6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2"/>
    <w:basedOn w:val="6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3"/>
    <w:basedOn w:val="6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4"/>
    <w:basedOn w:val="6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5"/>
    <w:basedOn w:val="6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6"/>
    <w:basedOn w:val="6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2"/>
    <w:basedOn w:val="6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 - Accent 1"/>
    <w:basedOn w:val="6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2"/>
    <w:basedOn w:val="6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3"/>
    <w:basedOn w:val="6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4"/>
    <w:basedOn w:val="6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5"/>
    <w:basedOn w:val="6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6"/>
    <w:basedOn w:val="6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3"/>
    <w:basedOn w:val="6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 - Accent 1"/>
    <w:basedOn w:val="6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2"/>
    <w:basedOn w:val="6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3"/>
    <w:basedOn w:val="6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4"/>
    <w:basedOn w:val="6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5"/>
    <w:basedOn w:val="6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6"/>
    <w:basedOn w:val="6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4"/>
    <w:basedOn w:val="63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 - Accent 1"/>
    <w:basedOn w:val="63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2"/>
    <w:basedOn w:val="63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3"/>
    <w:basedOn w:val="63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4"/>
    <w:basedOn w:val="63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5"/>
    <w:basedOn w:val="63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6"/>
    <w:basedOn w:val="63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5 Dark"/>
    <w:basedOn w:val="6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- Accent 1"/>
    <w:basedOn w:val="6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 - Accent 2"/>
    <w:basedOn w:val="6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3"/>
    <w:basedOn w:val="6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- Accent 4"/>
    <w:basedOn w:val="6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 - Accent 5"/>
    <w:basedOn w:val="6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6"/>
    <w:basedOn w:val="6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6 Colorful"/>
    <w:basedOn w:val="6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 - Accent 1"/>
    <w:basedOn w:val="6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2"/>
    <w:basedOn w:val="6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3"/>
    <w:basedOn w:val="6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4"/>
    <w:basedOn w:val="6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5"/>
    <w:basedOn w:val="6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6"/>
    <w:basedOn w:val="6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7 Colorful"/>
    <w:basedOn w:val="6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 - Accent 1"/>
    <w:basedOn w:val="6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2"/>
    <w:basedOn w:val="6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3"/>
    <w:basedOn w:val="6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4"/>
    <w:basedOn w:val="6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5"/>
    <w:basedOn w:val="6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6"/>
    <w:basedOn w:val="6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List Table 1 Light"/>
    <w:basedOn w:val="6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 - Accent 1"/>
    <w:basedOn w:val="6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2"/>
    <w:basedOn w:val="6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3"/>
    <w:basedOn w:val="6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4"/>
    <w:basedOn w:val="6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5"/>
    <w:basedOn w:val="6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6"/>
    <w:basedOn w:val="6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2"/>
    <w:basedOn w:val="6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 - Accent 1"/>
    <w:basedOn w:val="6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2"/>
    <w:basedOn w:val="6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3"/>
    <w:basedOn w:val="6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4"/>
    <w:basedOn w:val="6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5"/>
    <w:basedOn w:val="6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6"/>
    <w:basedOn w:val="6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3"/>
    <w:basedOn w:val="6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 - Accent 1"/>
    <w:basedOn w:val="6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2"/>
    <w:basedOn w:val="6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3"/>
    <w:basedOn w:val="6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4"/>
    <w:basedOn w:val="6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5"/>
    <w:basedOn w:val="6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6"/>
    <w:basedOn w:val="6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4"/>
    <w:basedOn w:val="6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 - Accent 1"/>
    <w:basedOn w:val="6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2"/>
    <w:basedOn w:val="6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3"/>
    <w:basedOn w:val="6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4"/>
    <w:basedOn w:val="6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5"/>
    <w:basedOn w:val="6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6"/>
    <w:basedOn w:val="6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5 Dark"/>
    <w:basedOn w:val="6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 - Accent 1"/>
    <w:basedOn w:val="6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2"/>
    <w:basedOn w:val="6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3"/>
    <w:basedOn w:val="6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4"/>
    <w:basedOn w:val="6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5"/>
    <w:basedOn w:val="6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6"/>
    <w:basedOn w:val="6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6 Colorful"/>
    <w:basedOn w:val="6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 - Accent 1"/>
    <w:basedOn w:val="6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2"/>
    <w:basedOn w:val="6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3"/>
    <w:basedOn w:val="6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4"/>
    <w:basedOn w:val="6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5"/>
    <w:basedOn w:val="6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6"/>
    <w:basedOn w:val="6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7 Colorful"/>
    <w:basedOn w:val="6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 - Accent 1"/>
    <w:basedOn w:val="6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2"/>
    <w:basedOn w:val="6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3"/>
    <w:basedOn w:val="6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4"/>
    <w:basedOn w:val="6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5"/>
    <w:basedOn w:val="6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6"/>
    <w:basedOn w:val="6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ned - Accent"/>
    <w:basedOn w:val="63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 1"/>
    <w:basedOn w:val="63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2"/>
    <w:basedOn w:val="63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3"/>
    <w:basedOn w:val="63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4"/>
    <w:basedOn w:val="63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5"/>
    <w:basedOn w:val="63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6"/>
    <w:basedOn w:val="63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Bordered &amp; Lined - Accent"/>
    <w:basedOn w:val="63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 1"/>
    <w:basedOn w:val="63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2"/>
    <w:basedOn w:val="63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3"/>
    <w:basedOn w:val="63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4"/>
    <w:basedOn w:val="63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5"/>
    <w:basedOn w:val="63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6"/>
    <w:basedOn w:val="63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"/>
    <w:basedOn w:val="6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 - Accent 1"/>
    <w:basedOn w:val="6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2"/>
    <w:basedOn w:val="6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3"/>
    <w:basedOn w:val="6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4"/>
    <w:basedOn w:val="6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5"/>
    <w:basedOn w:val="6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6"/>
    <w:basedOn w:val="6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9">
    <w:name w:val="Heading 2"/>
    <w:basedOn w:val="633"/>
    <w:next w:val="633"/>
    <w:link w:val="150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0">
    <w:name w:val="Heading 3"/>
    <w:basedOn w:val="633"/>
    <w:next w:val="633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1">
    <w:name w:val="Heading 4"/>
    <w:basedOn w:val="633"/>
    <w:next w:val="633"/>
    <w:link w:val="152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2">
    <w:name w:val="Heading 5"/>
    <w:basedOn w:val="633"/>
    <w:next w:val="633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3">
    <w:name w:val="Heading 6"/>
    <w:basedOn w:val="633"/>
    <w:next w:val="633"/>
    <w:link w:val="154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4">
    <w:name w:val="Heading 7"/>
    <w:basedOn w:val="633"/>
    <w:next w:val="633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5">
    <w:name w:val="Heading 8"/>
    <w:basedOn w:val="633"/>
    <w:next w:val="633"/>
    <w:link w:val="156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6">
    <w:name w:val="Heading 9"/>
    <w:basedOn w:val="633"/>
    <w:next w:val="633"/>
    <w:link w:val="157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9">
    <w:name w:val="Heading 1 Char"/>
    <w:basedOn w:val="635"/>
    <w:link w:val="634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0">
    <w:name w:val="Heading 2 Char"/>
    <w:basedOn w:val="635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1">
    <w:name w:val="Heading 3 Char"/>
    <w:basedOn w:val="635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2">
    <w:name w:val="Heading 4 Char"/>
    <w:basedOn w:val="635"/>
    <w:link w:val="14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3">
    <w:name w:val="Heading 5 Char"/>
    <w:basedOn w:val="635"/>
    <w:link w:val="14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4">
    <w:name w:val="Heading 6 Char"/>
    <w:basedOn w:val="635"/>
    <w:link w:val="143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5">
    <w:name w:val="Heading 7 Char"/>
    <w:basedOn w:val="635"/>
    <w:link w:val="144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6">
    <w:name w:val="Heading 8 Char"/>
    <w:basedOn w:val="635"/>
    <w:link w:val="14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7">
    <w:name w:val="Heading 9 Char"/>
    <w:basedOn w:val="635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8">
    <w:name w:val="Title"/>
    <w:basedOn w:val="633"/>
    <w:next w:val="633"/>
    <w:link w:val="159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59">
    <w:name w:val="Title Char"/>
    <w:basedOn w:val="635"/>
    <w:link w:val="158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0">
    <w:name w:val="Subtitle"/>
    <w:basedOn w:val="633"/>
    <w:next w:val="633"/>
    <w:link w:val="161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1">
    <w:name w:val="Subtitle Char"/>
    <w:basedOn w:val="635"/>
    <w:link w:val="160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2">
    <w:name w:val="Quote"/>
    <w:basedOn w:val="633"/>
    <w:next w:val="633"/>
    <w:link w:val="163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3">
    <w:name w:val="Quote Char"/>
    <w:basedOn w:val="635"/>
    <w:link w:val="162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164">
    <w:name w:val="List Paragraph"/>
    <w:basedOn w:val="633"/>
    <w:uiPriority w:val="34"/>
    <w:qFormat/>
    <w:pPr>
      <w:pBdr/>
      <w:spacing/>
      <w:ind w:left="720"/>
      <w:contextualSpacing w:val="true"/>
    </w:pPr>
  </w:style>
  <w:style w:type="character" w:styleId="165">
    <w:name w:val="Intense Emphasis"/>
    <w:basedOn w:val="635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6">
    <w:name w:val="Intense Quote"/>
    <w:basedOn w:val="633"/>
    <w:next w:val="633"/>
    <w:link w:val="167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7">
    <w:name w:val="Intense Quote Char"/>
    <w:basedOn w:val="635"/>
    <w:link w:val="166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8">
    <w:name w:val="Intense Reference"/>
    <w:basedOn w:val="635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69">
    <w:name w:val="No Spacing"/>
    <w:basedOn w:val="633"/>
    <w:uiPriority w:val="1"/>
    <w:qFormat/>
    <w:pPr>
      <w:pBdr/>
      <w:spacing w:after="0" w:line="240" w:lineRule="auto"/>
      <w:ind/>
    </w:pPr>
  </w:style>
  <w:style w:type="character" w:styleId="170">
    <w:name w:val="Subtle Emphasis"/>
    <w:basedOn w:val="635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1">
    <w:name w:val="Emphasis"/>
    <w:basedOn w:val="635"/>
    <w:uiPriority w:val="20"/>
    <w:qFormat/>
    <w:pPr>
      <w:pBdr/>
      <w:spacing/>
      <w:ind/>
    </w:pPr>
    <w:rPr>
      <w:i/>
      <w:iCs/>
    </w:rPr>
  </w:style>
  <w:style w:type="character" w:styleId="172">
    <w:name w:val="Strong"/>
    <w:basedOn w:val="635"/>
    <w:uiPriority w:val="22"/>
    <w:qFormat/>
    <w:pPr>
      <w:pBdr/>
      <w:spacing/>
      <w:ind/>
    </w:pPr>
    <w:rPr>
      <w:b/>
      <w:bCs/>
    </w:rPr>
  </w:style>
  <w:style w:type="character" w:styleId="173">
    <w:name w:val="Subtle Reference"/>
    <w:basedOn w:val="635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4">
    <w:name w:val="Book Title"/>
    <w:basedOn w:val="635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5">
    <w:name w:val="Header"/>
    <w:basedOn w:val="633"/>
    <w:link w:val="176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6">
    <w:name w:val="Header Char"/>
    <w:basedOn w:val="635"/>
    <w:link w:val="175"/>
    <w:uiPriority w:val="99"/>
    <w:pPr>
      <w:pBdr/>
      <w:spacing/>
      <w:ind/>
    </w:pPr>
  </w:style>
  <w:style w:type="paragraph" w:styleId="177">
    <w:name w:val="Footer"/>
    <w:basedOn w:val="633"/>
    <w:link w:val="178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8">
    <w:name w:val="Footer Char"/>
    <w:basedOn w:val="635"/>
    <w:link w:val="177"/>
    <w:uiPriority w:val="99"/>
    <w:pPr>
      <w:pBdr/>
      <w:spacing/>
      <w:ind/>
    </w:pPr>
  </w:style>
  <w:style w:type="paragraph" w:styleId="179">
    <w:name w:val="Caption"/>
    <w:basedOn w:val="633"/>
    <w:next w:val="633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0">
    <w:name w:val="footnote text"/>
    <w:basedOn w:val="633"/>
    <w:link w:val="18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1">
    <w:name w:val="Footnote Text Char"/>
    <w:basedOn w:val="635"/>
    <w:link w:val="180"/>
    <w:uiPriority w:val="99"/>
    <w:semiHidden/>
    <w:pPr>
      <w:pBdr/>
      <w:spacing/>
      <w:ind/>
    </w:pPr>
    <w:rPr>
      <w:sz w:val="20"/>
      <w:szCs w:val="20"/>
    </w:rPr>
  </w:style>
  <w:style w:type="character" w:styleId="182">
    <w:name w:val="footnote reference"/>
    <w:basedOn w:val="635"/>
    <w:uiPriority w:val="99"/>
    <w:semiHidden/>
    <w:unhideWhenUsed/>
    <w:pPr>
      <w:pBdr/>
      <w:spacing/>
      <w:ind/>
    </w:pPr>
    <w:rPr>
      <w:vertAlign w:val="superscript"/>
    </w:rPr>
  </w:style>
  <w:style w:type="paragraph" w:styleId="183">
    <w:name w:val="endnote text"/>
    <w:basedOn w:val="633"/>
    <w:link w:val="184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4">
    <w:name w:val="Endnote Text Char"/>
    <w:basedOn w:val="635"/>
    <w:link w:val="183"/>
    <w:uiPriority w:val="99"/>
    <w:semiHidden/>
    <w:pPr>
      <w:pBdr/>
      <w:spacing/>
      <w:ind/>
    </w:pPr>
    <w:rPr>
      <w:sz w:val="20"/>
      <w:szCs w:val="20"/>
    </w:rPr>
  </w:style>
  <w:style w:type="character" w:styleId="185">
    <w:name w:val="endnote reference"/>
    <w:basedOn w:val="635"/>
    <w:uiPriority w:val="99"/>
    <w:semiHidden/>
    <w:unhideWhenUsed/>
    <w:pPr>
      <w:pBdr/>
      <w:spacing/>
      <w:ind/>
    </w:pPr>
    <w:rPr>
      <w:vertAlign w:val="superscript"/>
    </w:rPr>
  </w:style>
  <w:style w:type="character" w:styleId="186">
    <w:name w:val="Hyperlink"/>
    <w:basedOn w:val="635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87">
    <w:name w:val="FollowedHyperlink"/>
    <w:basedOn w:val="635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97">
    <w:name w:val="TOC Heading"/>
    <w:uiPriority w:val="39"/>
    <w:unhideWhenUsed/>
    <w:pPr>
      <w:pBdr/>
      <w:spacing/>
      <w:ind/>
    </w:pPr>
  </w:style>
  <w:style w:type="paragraph" w:styleId="198">
    <w:name w:val="table of figures"/>
    <w:basedOn w:val="633"/>
    <w:next w:val="633"/>
    <w:uiPriority w:val="99"/>
    <w:unhideWhenUsed/>
    <w:pPr>
      <w:pBdr/>
      <w:spacing w:after="0" w:afterAutospacing="0"/>
      <w:ind/>
    </w:pPr>
  </w:style>
  <w:style w:type="paragraph" w:styleId="633" w:default="1">
    <w:name w:val="Normal"/>
    <w:qFormat/>
    <w:pPr>
      <w:pBdr/>
      <w:spacing/>
      <w:ind/>
    </w:pPr>
    <w:rPr>
      <w:rFonts w:ascii="Antiqua" w:hAnsi="Antiqua" w:eastAsia="Times New Roman"/>
      <w:color w:val="000000"/>
      <w:sz w:val="24"/>
      <w:lang w:val="en-US" w:eastAsia="ru-RU"/>
    </w:rPr>
  </w:style>
  <w:style w:type="paragraph" w:styleId="634">
    <w:name w:val="Heading 1"/>
    <w:basedOn w:val="633"/>
    <w:next w:val="633"/>
    <w:link w:val="638"/>
    <w:uiPriority w:val="99"/>
    <w:qFormat/>
    <w:pPr>
      <w:keepNext w:val="true"/>
      <w:pBdr/>
      <w:spacing/>
      <w:ind/>
      <w:jc w:val="center"/>
      <w:outlineLvl w:val="0"/>
    </w:pPr>
    <w:rPr>
      <w:rFonts w:ascii="Times New Roman" w:hAnsi="Times New Roman"/>
      <w:b/>
      <w:bCs/>
      <w:color w:val="auto"/>
      <w:sz w:val="28"/>
      <w:szCs w:val="28"/>
      <w:lang w:val="uk-UA"/>
    </w:rPr>
  </w:style>
  <w:style w:type="character" w:styleId="635" w:default="1">
    <w:name w:val="Default Paragraph Font"/>
    <w:uiPriority w:val="1"/>
    <w:semiHidden/>
    <w:unhideWhenUsed/>
    <w:pPr>
      <w:pBdr/>
      <w:spacing/>
      <w:ind/>
    </w:pPr>
  </w:style>
  <w:style w:type="table" w:styleId="636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37" w:default="1">
    <w:name w:val="No List"/>
    <w:uiPriority w:val="99"/>
    <w:semiHidden/>
    <w:unhideWhenUsed/>
    <w:pPr>
      <w:pBdr/>
      <w:spacing/>
      <w:ind/>
    </w:pPr>
  </w:style>
  <w:style w:type="character" w:styleId="638" w:customStyle="1">
    <w:name w:val="Заголовок 1 Знак"/>
    <w:link w:val="634"/>
    <w:uiPriority w:val="99"/>
    <w:pPr>
      <w:pBdr/>
      <w:spacing/>
      <w:ind/>
    </w:pPr>
    <w:rPr>
      <w:rFonts w:ascii="Times New Roman" w:hAnsi="Times New Roman" w:cs="Times New Roman"/>
      <w:b/>
      <w:bCs/>
      <w:sz w:val="28"/>
      <w:szCs w:val="28"/>
      <w:lang w:eastAsia="ru-RU"/>
    </w:rPr>
  </w:style>
  <w:style w:type="paragraph" w:styleId="639" w:customStyle="1">
    <w:name w:val="Знак Знак Знак Знак"/>
    <w:basedOn w:val="633"/>
    <w:uiPriority w:val="99"/>
    <w:pPr>
      <w:pBdr/>
      <w:spacing/>
      <w:ind/>
    </w:pPr>
    <w:rPr>
      <w:rFonts w:ascii="Verdana" w:hAnsi="Verdana" w:cs="Verdana"/>
      <w:color w:val="auto"/>
      <w:sz w:val="20"/>
      <w:lang w:eastAsia="en-US"/>
    </w:rPr>
  </w:style>
  <w:style w:type="paragraph" w:styleId="640" w:customStyle="1">
    <w:name w:val="Знак Знак Знак Знак2"/>
    <w:basedOn w:val="633"/>
    <w:uiPriority w:val="99"/>
    <w:pPr>
      <w:pBdr/>
      <w:spacing/>
      <w:ind/>
    </w:pPr>
    <w:rPr>
      <w:rFonts w:ascii="Verdana" w:hAnsi="Verdana" w:cs="Verdana"/>
      <w:color w:val="auto"/>
      <w:sz w:val="20"/>
      <w:lang w:eastAsia="en-US"/>
    </w:rPr>
  </w:style>
  <w:style w:type="paragraph" w:styleId="641" w:customStyle="1">
    <w:name w:val="Default"/>
    <w:uiPriority w:val="99"/>
    <w:pPr>
      <w:pBdr/>
      <w:spacing/>
      <w:ind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642" w:customStyle="1">
    <w:name w:val="Знак Знак Знак Знак1"/>
    <w:basedOn w:val="633"/>
    <w:uiPriority w:val="99"/>
    <w:pPr>
      <w:pBdr/>
      <w:spacing/>
      <w:ind/>
    </w:pPr>
    <w:rPr>
      <w:rFonts w:ascii="Verdana" w:hAnsi="Verdana" w:cs="Verdana"/>
      <w:color w:val="auto"/>
      <w:sz w:val="20"/>
      <w:lang w:eastAsia="en-US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Света</dc:creator>
  <cp:keywords/>
  <dc:description/>
  <cp:lastModifiedBy>Anonymous</cp:lastModifiedBy>
  <cp:revision>85</cp:revision>
  <dcterms:created xsi:type="dcterms:W3CDTF">2023-01-23T10:19:00Z</dcterms:created>
  <dcterms:modified xsi:type="dcterms:W3CDTF">2025-01-21T12:47:15Z</dcterms:modified>
</cp:coreProperties>
</file>